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i/>
        </w:rPr>
        <w:t xml:space="preserve">Aubrac, ténèbres  pieuses </w:t>
      </w:r>
      <w:r>
        <w:rPr>
          <w:rFonts w:ascii="Times" w:hAnsi="Times" w:cs="Times"/>
          <w:sz w:val="24"/>
          <w:sz-cs w:val="24"/>
        </w:rPr>
        <w:t xml:space="preserve">par Vincent Calvet, la rumeur libre Éditions, 2025, 122 pages </w:t>
      </w:r>
    </w:p>
    <w:p>
      <w:pPr/>
      <w:r>
        <w:rPr>
          <w:rFonts w:ascii="Times" w:hAnsi="Times" w:cs="Times"/>
          <w:sz w:val="24"/>
          <w:sz-cs w:val="24"/>
        </w:rPr>
        <w:t xml:space="preserve"/>
      </w:r>
    </w:p>
    <w:p>
      <w:pPr/>
      <w:r>
        <w:rPr>
          <w:rFonts w:ascii="Times" w:hAnsi="Times" w:cs="Times"/>
          <w:sz w:val="28"/>
          <w:sz-cs w:val="28"/>
          <w:b/>
        </w:rPr>
        <w:t xml:space="preserve">La Tour de Pierre d'ombre</w:t>
      </w:r>
    </w:p>
    <w:p>
      <w:pPr/>
      <w:r>
        <w:rPr>
          <w:rFonts w:ascii="Times" w:hAnsi="Times" w:cs="Times"/>
          <w:sz w:val="28"/>
          <w:sz-cs w:val="28"/>
          <w:b/>
        </w:rPr>
        <w:t xml:space="preserve"/>
      </w:r>
    </w:p>
    <w:p>
      <w:pPr/>
      <w:r>
        <w:rPr>
          <w:rFonts w:ascii="Times" w:hAnsi="Times" w:cs="Times"/>
          <w:sz w:val="24"/>
          <w:sz-cs w:val="24"/>
        </w:rPr>
        <w:t xml:space="preserve">Chroniqué par Iren Mihaylova </w:t>
      </w:r>
    </w:p>
    <w:p>
      <w:pPr>
        <w:jc w:val="both"/>
      </w:pPr>
      <w:r>
        <w:rPr>
          <w:rFonts w:ascii="Times" w:hAnsi="Times" w:cs="Times"/>
          <w:sz w:val="24"/>
          <w:sz-cs w:val="24"/>
        </w:rPr>
        <w:t xml:space="preserve"/>
      </w:r>
    </w:p>
    <w:p>
      <w:pPr>
        <w:jc w:val="both"/>
      </w:pPr>
      <w:r>
        <w:rPr>
          <w:rFonts w:ascii="Times" w:hAnsi="Times" w:cs="Times"/>
          <w:sz w:val="24"/>
          <w:sz-cs w:val="24"/>
        </w:rPr>
        <w:t xml:space="preserve">Rayon de lumière éblouissante d'une couverture jaune pastel qui se délivre à la première page. Entrée en matière dans la lourde solidité des pierres des bâtiments de la mémoire. Des objets de la nature intériorisée se dévoilent devant nos yeux plissés, comme pour voir, pour toucher, pour saisir une effervescence étrange. Puis, presque immédiatement, une familiarité dérangeante fait chanter la douce sollicitude de l’enfance. Plongeons-nous désormais dans un décor-non-décor, d’un lieu-non-lieu, avec comme principaux protagonistes la Mort, l’Ombre, la Vie, la Rose, la Mer, l’Autre – personnages multiples mais uniques, les repères solides d’un monde mystérieux et profond. Objets-personnages identifiés et repérables mais qui planent pour autant au-dessus des souvenirs qui se déploient, se superposent sur d’autres scènes – comme dans les paysages des surréalistes – vagues, impressionnistes, remplies d’une touchante et déchirante nostalgie, douce et rêveuse. Or, le comprenons-nous très vite, un paradoxe réside dans les scènes-souvenirs, hantées – non par la Mort, mais par la métaphysique de la Mort. La problématique se déploie à travers de poèmes-sanctuaires du souvenir  qui s’érigent comme des cathédrales en pierre rouge, en pierre-Rose, faisant par là même référence à un lieu sacré d’encrage qui ne pose pas un décor mais l’habite.</w:t>
      </w:r>
    </w:p>
    <w:p>
      <w:pPr>
        <w:jc w:val="both"/>
      </w:pPr>
      <w:r>
        <w:rPr>
          <w:rFonts w:ascii="Times" w:hAnsi="Times" w:cs="Times"/>
          <w:sz w:val="24"/>
          <w:sz-cs w:val="24"/>
        </w:rPr>
        <w:t xml:space="preserve"/>
      </w:r>
    </w:p>
    <w:p>
      <w:pPr>
        <w:jc w:val="both"/>
      </w:pPr>
      <w:r>
        <w:rPr>
          <w:rFonts w:ascii="Times" w:hAnsi="Times" w:cs="Times"/>
          <w:sz w:val="24"/>
          <w:sz-cs w:val="24"/>
        </w:rPr>
        <w:t xml:space="preserve">Dans ce lieu </w:t>
      </w:r>
      <w:r>
        <w:rPr>
          <w:rFonts w:ascii="Times" w:hAnsi="Times" w:cs="Times"/>
          <w:sz w:val="24"/>
          <w:sz-cs w:val="24"/>
          <w:i/>
        </w:rPr>
        <w:t xml:space="preserve">la Tour de pierre d’ombre </w:t>
      </w:r>
      <w:r>
        <w:rPr>
          <w:rFonts w:ascii="Times" w:hAnsi="Times" w:cs="Times"/>
          <w:sz w:val="24"/>
          <w:sz-cs w:val="24"/>
        </w:rPr>
        <w:t xml:space="preserve">(p.36), symbole qui renvoie au </w:t>
      </w:r>
      <w:r>
        <w:rPr>
          <w:rFonts w:ascii="Times" w:hAnsi="Times" w:cs="Times"/>
          <w:sz w:val="24"/>
          <w:sz-cs w:val="24"/>
          <w:i/>
        </w:rPr>
        <w:t xml:space="preserve">prince à la Tour abolie </w:t>
      </w:r>
      <w:r>
        <w:rPr>
          <w:rFonts w:ascii="Times" w:hAnsi="Times" w:cs="Times"/>
          <w:sz w:val="24"/>
          <w:sz-cs w:val="24"/>
        </w:rPr>
        <w:t xml:space="preserve">de Nerval (dans </w:t>
      </w:r>
      <w:r>
        <w:rPr>
          <w:rFonts w:ascii="Times" w:hAnsi="Times" w:cs="Times"/>
          <w:sz w:val="24"/>
          <w:sz-cs w:val="24"/>
          <w:i/>
        </w:rPr>
        <w:t xml:space="preserve">El Desdichado</w:t>
      </w:r>
      <w:r>
        <w:rPr>
          <w:rFonts w:ascii="Times" w:hAnsi="Times" w:cs="Times"/>
          <w:sz w:val="24"/>
          <w:sz-cs w:val="24"/>
        </w:rPr>
        <w:t xml:space="preserve">), se dévoile de manière touchante et discrète, et non sans une force lyrique qui frappe, la condition douloureusement terrible de celui ou celle qui quitte pour toujours les confins de l’enfance-Vie-refuge, désertés par la foi d’Être et ceci sans possible retour.                             </w:t>
      </w:r>
    </w:p>
    <w:p>
      <w:pPr>
        <w:jc w:val="both"/>
      </w:pPr>
      <w:r>
        <w:rPr>
          <w:rFonts w:ascii="Times" w:hAnsi="Times" w:cs="Times"/>
          <w:sz w:val="24"/>
          <w:sz-cs w:val="24"/>
        </w:rPr>
        <w:t xml:space="preserve">Ne connaissant plus grande tragédie que celle-là, l’homme nietzschéen a deux possibles recours : souffrir ou souffrir mieux. Vincent Calvet pose la question autrement. Dans ces lieux et objets imbibés de douceur et de nostalgie, devenus lourds à force de leur achoppement, le soleil qui se lève au-dessus de l’église-Tour d’un autre temple, d’où le Je-lyrique n’observe plus, serait-il un signe de remembrement de ce qui n’est à jamais que perdre ? </w:t>
      </w:r>
    </w:p>
    <w:p>
      <w:pPr>
        <w:jc w:val="both"/>
      </w:pPr>
      <w:r>
        <w:rPr>
          <w:rFonts w:ascii="Times" w:hAnsi="Times" w:cs="Times"/>
          <w:sz w:val="24"/>
          <w:sz-cs w:val="24"/>
        </w:rPr>
        <w:t xml:space="preserve"/>
      </w:r>
    </w:p>
    <w:p>
      <w:pPr>
        <w:jc w:val="both"/>
      </w:pPr>
      <w:r>
        <w:rPr>
          <w:rFonts w:ascii="Times" w:hAnsi="Times" w:cs="Times"/>
          <w:sz w:val="24"/>
          <w:sz-cs w:val="24"/>
        </w:rPr>
        <w:t xml:space="preserve">Ce qui touche profondément dans cette poésie est l’éblouissante lumière bleu-ciel, une clarté dorée qui ne s’observe que dans la ténèbre profonde et qui, avec une poignante philosophie, fait suspendre le temps dans « cette image lente » aux étendues presque perceptibles où le </w:t>
      </w:r>
      <w:r>
        <w:rPr>
          <w:rFonts w:ascii="Times" w:hAnsi="Times" w:cs="Times"/>
          <w:sz w:val="24"/>
          <w:sz-cs w:val="24"/>
          <w:i/>
        </w:rPr>
        <w:t xml:space="preserve">Je</w:t>
      </w:r>
      <w:r>
        <w:rPr>
          <w:rFonts w:ascii="Times" w:hAnsi="Times" w:cs="Times"/>
          <w:sz w:val="24"/>
          <w:sz-cs w:val="24"/>
        </w:rPr>
        <w:t xml:space="preserve"> lyrique vit (pp. 38-39). C’est véritablement à partir de cet aveu condensé à travers plusieurs poèmes que la « lumière sombre » « intègre » la lumière blanche qui renverse les ombres en infinie clarté.  </w:t>
      </w:r>
    </w:p>
    <w:p>
      <w:pPr>
        <w:jc w:val="both"/>
      </w:pPr>
      <w:r>
        <w:rPr>
          <w:rFonts w:ascii="Times" w:hAnsi="Times" w:cs="Times"/>
          <w:sz w:val="24"/>
          <w:sz-cs w:val="24"/>
        </w:rPr>
        <w:t xml:space="preserve"/>
      </w:r>
    </w:p>
    <w:p>
      <w:pPr>
        <w:jc w:val="both"/>
      </w:pPr>
      <w:r>
        <w:rPr>
          <w:rFonts w:ascii="Times" w:hAnsi="Times" w:cs="Times"/>
          <w:sz w:val="24"/>
          <w:sz-cs w:val="24"/>
        </w:rPr>
        <w:t xml:space="preserve">Comme chez Matisse, absolu noir et absolu lumière se renversent dans la foi et brillamment ! </w:t>
      </w:r>
    </w:p>
    <w:p>
      <w:pPr>
        <w:jc w:val="both"/>
      </w:pPr>
      <w:r>
        <w:rPr>
          <w:rFonts w:ascii="Times" w:hAnsi="Times" w:cs="Times"/>
          <w:sz w:val="24"/>
          <w:sz-cs w:val="24"/>
        </w:rPr>
        <w:t xml:space="preserve"/>
      </w:r>
    </w:p>
    <w:p>
      <w:pPr>
        <w:jc w:val="both"/>
      </w:pPr>
      <w:r>
        <w:rPr>
          <w:rFonts w:ascii="Times" w:hAnsi="Times" w:cs="Times"/>
          <w:sz w:val="24"/>
          <w:sz-cs w:val="24"/>
          <w:i/>
        </w:rPr>
        <w:t xml:space="preserve">© Tous droits réservés au laboratoire de création contemporaine Peau Électrique.</w:t>
      </w:r>
    </w:p>
    <w:sectPr>
      <w:pgSz w:w="11905" w:h="16837"/>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vivreenpoete@gmail.com</dc:creator>
</cp:coreProperties>
</file>

<file path=docProps/meta.xml><?xml version="1.0" encoding="utf-8"?>
<meta xmlns="http://schemas.apple.com/cocoa/2006/metadata">
  <generator>CocoaOOXMLWriter/1894.7</generator>
</meta>
</file>